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8B3" w:rsidRDefault="004928B3" w:rsidP="004928B3">
      <w:pPr>
        <w:jc w:val="center"/>
        <w:rPr>
          <w:b/>
          <w:bCs/>
          <w:sz w:val="28"/>
          <w:lang w:val="en-US"/>
        </w:rPr>
      </w:pPr>
      <w:r>
        <w:rPr>
          <w:b/>
          <w:bCs/>
          <w:sz w:val="28"/>
          <w:lang w:val="en-US"/>
        </w:rPr>
        <w:t>CERTIFIED AUDIT AND ACCOUNTING PROFESSIONALS</w:t>
      </w:r>
    </w:p>
    <w:tbl>
      <w:tblPr>
        <w:tblW w:w="5432" w:type="pct"/>
        <w:tblLook w:val="04A0" w:firstRow="1" w:lastRow="0" w:firstColumn="1" w:lastColumn="0" w:noHBand="0" w:noVBand="1"/>
      </w:tblPr>
      <w:tblGrid>
        <w:gridCol w:w="789"/>
        <w:gridCol w:w="9006"/>
      </w:tblGrid>
      <w:tr w:rsidR="004928B3" w:rsidRPr="004928B3" w:rsidTr="004928B3">
        <w:trPr>
          <w:trHeight w:val="439"/>
        </w:trPr>
        <w:tc>
          <w:tcPr>
            <w:tcW w:w="4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28B3" w:rsidRPr="004928B3" w:rsidRDefault="004928B3" w:rsidP="004928B3">
            <w:pPr>
              <w:spacing w:after="0" w:line="240" w:lineRule="auto"/>
              <w:jc w:val="center"/>
              <w:rPr>
                <w:rFonts w:ascii="Calibri" w:eastAsia="Times New Roman" w:hAnsi="Calibri" w:cs="Calibri"/>
                <w:b/>
                <w:bCs/>
                <w:color w:val="000000"/>
                <w:kern w:val="0"/>
                <w:sz w:val="24"/>
                <w:szCs w:val="24"/>
                <w:lang w:eastAsia="en-IN"/>
                <w14:ligatures w14:val="none"/>
              </w:rPr>
            </w:pPr>
            <w:r w:rsidRPr="004928B3">
              <w:rPr>
                <w:rFonts w:ascii="Calibri" w:eastAsia="Times New Roman" w:hAnsi="Calibri" w:cs="Calibri"/>
                <w:b/>
                <w:bCs/>
                <w:color w:val="000000"/>
                <w:kern w:val="0"/>
                <w:sz w:val="24"/>
                <w:szCs w:val="24"/>
                <w:lang w:eastAsia="en-IN"/>
                <w14:ligatures w14:val="none"/>
              </w:rPr>
              <w:t>S.no.</w:t>
            </w:r>
          </w:p>
        </w:tc>
        <w:tc>
          <w:tcPr>
            <w:tcW w:w="4597" w:type="pct"/>
            <w:tcBorders>
              <w:top w:val="single" w:sz="4" w:space="0" w:color="auto"/>
              <w:left w:val="nil"/>
              <w:bottom w:val="single" w:sz="4" w:space="0" w:color="auto"/>
              <w:right w:val="single" w:sz="4" w:space="0" w:color="auto"/>
            </w:tcBorders>
            <w:shd w:val="clear" w:color="auto" w:fill="auto"/>
            <w:vAlign w:val="center"/>
            <w:hideMark/>
          </w:tcPr>
          <w:p w:rsidR="004928B3" w:rsidRPr="004928B3" w:rsidRDefault="004928B3" w:rsidP="004928B3">
            <w:pPr>
              <w:spacing w:after="0" w:line="240" w:lineRule="auto"/>
              <w:rPr>
                <w:rFonts w:ascii="Calibri" w:eastAsia="Times New Roman" w:hAnsi="Calibri" w:cs="Calibri"/>
                <w:b/>
                <w:bCs/>
                <w:color w:val="000000"/>
                <w:kern w:val="0"/>
                <w:sz w:val="24"/>
                <w:szCs w:val="24"/>
                <w:lang w:eastAsia="en-IN"/>
                <w14:ligatures w14:val="none"/>
              </w:rPr>
            </w:pPr>
            <w:r w:rsidRPr="004928B3">
              <w:rPr>
                <w:rFonts w:ascii="Calibri" w:eastAsia="Times New Roman" w:hAnsi="Calibri" w:cs="Calibri"/>
                <w:b/>
                <w:bCs/>
                <w:color w:val="000000"/>
                <w:kern w:val="0"/>
                <w:sz w:val="24"/>
                <w:szCs w:val="24"/>
                <w:lang w:eastAsia="en-IN"/>
                <w14:ligatures w14:val="none"/>
              </w:rPr>
              <w:t>RBI Notifications</w:t>
            </w:r>
          </w:p>
        </w:tc>
      </w:tr>
      <w:tr w:rsidR="004928B3" w:rsidRPr="004928B3" w:rsidTr="004928B3">
        <w:trPr>
          <w:trHeight w:val="146"/>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4928B3" w:rsidRPr="004928B3" w:rsidRDefault="004928B3" w:rsidP="004928B3">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p>
        </w:tc>
        <w:tc>
          <w:tcPr>
            <w:tcW w:w="4597" w:type="pct"/>
            <w:tcBorders>
              <w:top w:val="nil"/>
              <w:left w:val="nil"/>
              <w:bottom w:val="single" w:sz="4" w:space="0" w:color="auto"/>
              <w:right w:val="single" w:sz="4" w:space="0" w:color="auto"/>
            </w:tcBorders>
            <w:shd w:val="clear" w:color="auto" w:fill="auto"/>
            <w:vAlign w:val="center"/>
            <w:hideMark/>
          </w:tcPr>
          <w:p w:rsidR="004928B3" w:rsidRPr="004928B3" w:rsidRDefault="004928B3" w:rsidP="004928B3">
            <w:pPr>
              <w:spacing w:after="0" w:line="240" w:lineRule="auto"/>
              <w:jc w:val="both"/>
              <w:rPr>
                <w:rFonts w:ascii="Calibri" w:eastAsia="Times New Roman" w:hAnsi="Calibri" w:cs="Calibri"/>
                <w:color w:val="000000"/>
                <w:kern w:val="0"/>
                <w:sz w:val="24"/>
                <w:szCs w:val="24"/>
                <w:lang w:eastAsia="en-IN"/>
                <w14:ligatures w14:val="none"/>
              </w:rPr>
            </w:pPr>
            <w:r w:rsidRPr="004928B3">
              <w:rPr>
                <w:rFonts w:ascii="Calibri" w:eastAsia="Times New Roman" w:hAnsi="Calibri" w:cs="Calibri"/>
                <w:color w:val="000000"/>
                <w:kern w:val="0"/>
                <w:sz w:val="24"/>
                <w:szCs w:val="24"/>
                <w:lang w:eastAsia="en-IN"/>
                <w14:ligatures w14:val="none"/>
              </w:rPr>
              <w:t>Reserve Bank of India Act, 1934 - Section 42(1A) - Requirement for maintaining additional CRR</w:t>
            </w:r>
          </w:p>
        </w:tc>
      </w:tr>
      <w:tr w:rsidR="004928B3" w:rsidRPr="004928B3" w:rsidTr="004928B3">
        <w:trPr>
          <w:trHeight w:val="293"/>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4928B3" w:rsidRPr="004928B3" w:rsidRDefault="004928B3" w:rsidP="004928B3">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4597" w:type="pct"/>
            <w:tcBorders>
              <w:top w:val="nil"/>
              <w:left w:val="nil"/>
              <w:bottom w:val="single" w:sz="4" w:space="0" w:color="auto"/>
              <w:right w:val="single" w:sz="4" w:space="0" w:color="auto"/>
            </w:tcBorders>
            <w:shd w:val="clear" w:color="auto" w:fill="auto"/>
            <w:vAlign w:val="center"/>
            <w:hideMark/>
          </w:tcPr>
          <w:p w:rsidR="004928B3" w:rsidRPr="004928B3" w:rsidRDefault="004928B3" w:rsidP="004928B3">
            <w:pPr>
              <w:spacing w:after="0" w:line="240" w:lineRule="auto"/>
              <w:jc w:val="both"/>
              <w:rPr>
                <w:rFonts w:ascii="Calibri" w:eastAsia="Times New Roman" w:hAnsi="Calibri" w:cs="Calibri"/>
                <w:color w:val="000000"/>
                <w:kern w:val="0"/>
                <w:sz w:val="24"/>
                <w:szCs w:val="24"/>
                <w:lang w:eastAsia="en-IN"/>
                <w14:ligatures w14:val="none"/>
              </w:rPr>
            </w:pPr>
            <w:r w:rsidRPr="004928B3">
              <w:rPr>
                <w:rFonts w:ascii="Calibri" w:eastAsia="Times New Roman" w:hAnsi="Calibri" w:cs="Calibri"/>
                <w:color w:val="000000"/>
                <w:kern w:val="0"/>
                <w:sz w:val="24"/>
                <w:szCs w:val="24"/>
                <w:lang w:eastAsia="en-IN"/>
                <w14:ligatures w14:val="none"/>
              </w:rPr>
              <w:t>Master Direction - Classification, Valuation and Operation of Investment Portfolio of Commercial Banks (Directions), 2023</w:t>
            </w:r>
          </w:p>
        </w:tc>
      </w:tr>
      <w:tr w:rsidR="004928B3" w:rsidRPr="004928B3" w:rsidTr="004928B3">
        <w:trPr>
          <w:trHeight w:val="293"/>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4928B3" w:rsidRPr="004928B3" w:rsidRDefault="004928B3" w:rsidP="004928B3">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w:t>
            </w:r>
          </w:p>
        </w:tc>
        <w:tc>
          <w:tcPr>
            <w:tcW w:w="4597" w:type="pct"/>
            <w:tcBorders>
              <w:top w:val="nil"/>
              <w:left w:val="nil"/>
              <w:bottom w:val="single" w:sz="4" w:space="0" w:color="auto"/>
              <w:right w:val="single" w:sz="4" w:space="0" w:color="auto"/>
            </w:tcBorders>
            <w:shd w:val="clear" w:color="auto" w:fill="auto"/>
            <w:vAlign w:val="center"/>
            <w:hideMark/>
          </w:tcPr>
          <w:p w:rsidR="004928B3" w:rsidRPr="004928B3" w:rsidRDefault="004928B3" w:rsidP="004928B3">
            <w:pPr>
              <w:spacing w:after="0" w:line="240" w:lineRule="auto"/>
              <w:jc w:val="both"/>
              <w:rPr>
                <w:rFonts w:ascii="Calibri" w:eastAsia="Times New Roman" w:hAnsi="Calibri" w:cs="Calibri"/>
                <w:color w:val="000000"/>
                <w:kern w:val="0"/>
                <w:sz w:val="24"/>
                <w:szCs w:val="24"/>
                <w:lang w:eastAsia="en-IN"/>
                <w14:ligatures w14:val="none"/>
              </w:rPr>
            </w:pPr>
            <w:r w:rsidRPr="004928B3">
              <w:rPr>
                <w:rFonts w:ascii="Calibri" w:eastAsia="Times New Roman" w:hAnsi="Calibri" w:cs="Calibri"/>
                <w:color w:val="000000"/>
                <w:kern w:val="0"/>
                <w:sz w:val="24"/>
                <w:szCs w:val="24"/>
                <w:lang w:eastAsia="en-IN"/>
                <w14:ligatures w14:val="none"/>
              </w:rPr>
              <w:t>Reserve Bank of India (Financial Statements - Presentation and Disclosures) Directions, 2021: Presentation of unclaimed liabilities transferred to Depositor Education and Awareness (DEA) Fund</w:t>
            </w:r>
          </w:p>
        </w:tc>
      </w:tr>
      <w:tr w:rsidR="004928B3" w:rsidRPr="004928B3" w:rsidTr="004928B3">
        <w:trPr>
          <w:trHeight w:val="146"/>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4928B3" w:rsidRPr="004928B3" w:rsidRDefault="004928B3" w:rsidP="004928B3">
            <w:pPr>
              <w:spacing w:after="0" w:line="240" w:lineRule="auto"/>
              <w:jc w:val="both"/>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4</w:t>
            </w:r>
          </w:p>
        </w:tc>
        <w:tc>
          <w:tcPr>
            <w:tcW w:w="4597" w:type="pct"/>
            <w:tcBorders>
              <w:top w:val="nil"/>
              <w:left w:val="nil"/>
              <w:bottom w:val="single" w:sz="4" w:space="0" w:color="auto"/>
              <w:right w:val="single" w:sz="4" w:space="0" w:color="auto"/>
            </w:tcBorders>
            <w:shd w:val="clear" w:color="auto" w:fill="auto"/>
            <w:vAlign w:val="bottom"/>
            <w:hideMark/>
          </w:tcPr>
          <w:p w:rsidR="004928B3" w:rsidRPr="004928B3" w:rsidRDefault="004928B3" w:rsidP="004928B3">
            <w:pPr>
              <w:spacing w:after="0" w:line="240" w:lineRule="auto"/>
              <w:jc w:val="both"/>
              <w:rPr>
                <w:rFonts w:ascii="Calibri" w:eastAsia="Times New Roman" w:hAnsi="Calibri" w:cs="Calibri"/>
                <w:color w:val="000000"/>
                <w:kern w:val="0"/>
                <w:sz w:val="24"/>
                <w:szCs w:val="24"/>
                <w:lang w:eastAsia="en-IN"/>
                <w14:ligatures w14:val="none"/>
              </w:rPr>
            </w:pPr>
            <w:r w:rsidRPr="004928B3">
              <w:rPr>
                <w:rFonts w:ascii="Calibri" w:eastAsia="Times New Roman" w:hAnsi="Calibri" w:cs="Calibri"/>
                <w:color w:val="000000"/>
                <w:kern w:val="0"/>
                <w:sz w:val="24"/>
                <w:szCs w:val="24"/>
                <w:lang w:eastAsia="en-IN"/>
                <w14:ligatures w14:val="none"/>
              </w:rPr>
              <w:t>Master Direction on Information Technology Governance, Risk, Controls and Assurance Practices</w:t>
            </w:r>
          </w:p>
        </w:tc>
      </w:tr>
    </w:tbl>
    <w:p w:rsidR="00A87BB7" w:rsidRDefault="00A87BB7"/>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4928B3" w:rsidRDefault="004928B3"/>
    <w:p w:rsidR="009B6F28" w:rsidRPr="00272E7F" w:rsidRDefault="009B6F28" w:rsidP="009B6F28">
      <w:pPr>
        <w:rPr>
          <w:b/>
        </w:rPr>
      </w:pPr>
      <w:r w:rsidRPr="005A604C">
        <w:rPr>
          <w:rFonts w:ascii="Calibri" w:eastAsia="Times New Roman" w:hAnsi="Calibri" w:cs="Calibri"/>
          <w:b/>
          <w:color w:val="000000"/>
          <w:kern w:val="0"/>
          <w:sz w:val="24"/>
          <w:szCs w:val="24"/>
          <w:lang w:eastAsia="en-IN"/>
          <w14:ligatures w14:val="none"/>
        </w:rPr>
        <w:lastRenderedPageBreak/>
        <w:t>Reserve Bank of India Act, 1934 - Section 42(1A) - Requirement for maintaining additional CRR</w:t>
      </w:r>
    </w:p>
    <w:p w:rsidR="009B6F28" w:rsidRPr="005A604C"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RBI/2023-24/52</w:t>
      </w:r>
      <w:r w:rsidRPr="005A604C">
        <w:rPr>
          <w:rFonts w:ascii="Arial" w:eastAsia="Times New Roman" w:hAnsi="Arial" w:cs="Arial"/>
          <w:color w:val="000000"/>
          <w:kern w:val="0"/>
          <w:sz w:val="20"/>
          <w:szCs w:val="20"/>
          <w:lang w:eastAsia="en-IN"/>
          <w14:ligatures w14:val="none"/>
        </w:rPr>
        <w:br/>
        <w:t>DOR.RET.REC.29/12.01.001/2023-24</w:t>
      </w:r>
    </w:p>
    <w:p w:rsidR="009B6F28" w:rsidRPr="005A604C" w:rsidRDefault="009B6F28" w:rsidP="009B6F28">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August 10, 2023</w:t>
      </w:r>
    </w:p>
    <w:p w:rsidR="009B6F28" w:rsidRPr="005A604C"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The Chairperson / CEOs of all Scheduled Commercial Banks / Regional Rural Banks /</w:t>
      </w:r>
      <w:r w:rsidRPr="005A604C">
        <w:rPr>
          <w:rFonts w:ascii="Arial" w:eastAsia="Times New Roman" w:hAnsi="Arial" w:cs="Arial"/>
          <w:color w:val="000000"/>
          <w:kern w:val="0"/>
          <w:sz w:val="20"/>
          <w:szCs w:val="20"/>
          <w:lang w:eastAsia="en-IN"/>
          <w14:ligatures w14:val="none"/>
        </w:rPr>
        <w:br/>
        <w:t>All Scheduled Primary (Urban) Co-operative Banks / All Scheduled State Co-operative Banks</w:t>
      </w:r>
    </w:p>
    <w:p w:rsidR="009B6F28" w:rsidRPr="005A604C"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Madam / Dear Sir,</w:t>
      </w:r>
    </w:p>
    <w:p w:rsidR="009B6F28" w:rsidRPr="005A604C" w:rsidRDefault="009B6F28" w:rsidP="009B6F28">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5A604C">
        <w:rPr>
          <w:rFonts w:ascii="Arial" w:eastAsia="Times New Roman" w:hAnsi="Arial" w:cs="Arial"/>
          <w:b/>
          <w:bCs/>
          <w:color w:val="000000"/>
          <w:kern w:val="0"/>
          <w:sz w:val="20"/>
          <w:szCs w:val="20"/>
          <w:lang w:eastAsia="en-IN"/>
          <w14:ligatures w14:val="none"/>
        </w:rPr>
        <w:t>Reserve Bank of India Act, 1934 - Section 42(1A) - Requirement for maintaining additional CRR</w:t>
      </w:r>
    </w:p>
    <w:p w:rsidR="009B6F28" w:rsidRPr="005A604C"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Under Section 42(1) of the Reserve Bank of India Act, 1934, all Scheduled Banks are required to maintain with Reserve Bank of India a Cash Reserve Ratio (CRR) of 4.50 per cent of Net Demand and Time Liabilities (NDTL).</w:t>
      </w:r>
    </w:p>
    <w:p w:rsidR="009B6F28" w:rsidRPr="005A604C"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2. On a review of the current liquidity conditions, it has been decided to issue a directive under Section 42(1A) of the Reserve Bank of India Act, 1934 requiring all Scheduled Commercial Banks / Regional Rural Banks / all Scheduled Primary (Urban) Co-operative Banks / all Scheduled State Co-operative Banks to maintain with the Reserve Bank of India, effective from the fortnight beginning August 12, 2023, an incremental CRR (I-CRR) of 10 per cent on the increase in NDTL between May 19, 2023 and July 28, 2023. The I-CRR will be reviewed on September 8, 2023 or earlier.</w:t>
      </w:r>
    </w:p>
    <w:p w:rsidR="009B6F28" w:rsidRPr="005A604C"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3. A copy of the relative notification DOR.RET.REC.30/12.01.001/2023-24 dated August 10, 2023 is </w:t>
      </w:r>
      <w:hyperlink r:id="rId4" w:anchor="AN1" w:history="1">
        <w:r w:rsidRPr="005A604C">
          <w:rPr>
            <w:rFonts w:ascii="Arial" w:eastAsia="Times New Roman" w:hAnsi="Arial" w:cs="Arial"/>
            <w:color w:val="0000FF"/>
            <w:kern w:val="0"/>
            <w:sz w:val="20"/>
            <w:szCs w:val="20"/>
            <w:u w:val="single"/>
            <w:lang w:eastAsia="en-IN"/>
            <w14:ligatures w14:val="none"/>
          </w:rPr>
          <w:t>enclosed</w:t>
        </w:r>
      </w:hyperlink>
      <w:r w:rsidRPr="005A604C">
        <w:rPr>
          <w:rFonts w:ascii="Arial" w:eastAsia="Times New Roman" w:hAnsi="Arial" w:cs="Arial"/>
          <w:color w:val="000000"/>
          <w:kern w:val="0"/>
          <w:sz w:val="20"/>
          <w:szCs w:val="20"/>
          <w:lang w:eastAsia="en-IN"/>
          <w14:ligatures w14:val="none"/>
        </w:rPr>
        <w:t>.</w:t>
      </w:r>
    </w:p>
    <w:p w:rsidR="009B6F28" w:rsidRPr="005A604C"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A604C">
        <w:rPr>
          <w:rFonts w:ascii="Arial" w:eastAsia="Times New Roman" w:hAnsi="Arial" w:cs="Arial"/>
          <w:color w:val="000000"/>
          <w:kern w:val="0"/>
          <w:sz w:val="20"/>
          <w:szCs w:val="20"/>
          <w:lang w:eastAsia="en-IN"/>
          <w14:ligatures w14:val="none"/>
        </w:rPr>
        <w:t>Yours faithfully,</w:t>
      </w:r>
    </w:p>
    <w:p w:rsidR="009B6F28" w:rsidRPr="005A604C" w:rsidRDefault="009B6F28" w:rsidP="009B6F28">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w:t>
      </w:r>
      <w:proofErr w:type="spellStart"/>
      <w:r>
        <w:rPr>
          <w:rFonts w:ascii="Arial" w:eastAsia="Times New Roman" w:hAnsi="Arial" w:cs="Arial"/>
          <w:color w:val="000000"/>
          <w:kern w:val="0"/>
          <w:sz w:val="20"/>
          <w:szCs w:val="20"/>
          <w:lang w:eastAsia="en-IN"/>
          <w14:ligatures w14:val="none"/>
        </w:rPr>
        <w:t>Brij</w:t>
      </w:r>
      <w:proofErr w:type="spellEnd"/>
      <w:r>
        <w:rPr>
          <w:rFonts w:ascii="Arial" w:eastAsia="Times New Roman" w:hAnsi="Arial" w:cs="Arial"/>
          <w:color w:val="000000"/>
          <w:kern w:val="0"/>
          <w:sz w:val="20"/>
          <w:szCs w:val="20"/>
          <w:lang w:eastAsia="en-IN"/>
          <w14:ligatures w14:val="none"/>
        </w:rPr>
        <w:t xml:space="preserve"> </w:t>
      </w:r>
      <w:r w:rsidRPr="005A604C">
        <w:rPr>
          <w:rFonts w:ascii="Arial" w:eastAsia="Times New Roman" w:hAnsi="Arial" w:cs="Arial"/>
          <w:color w:val="000000"/>
          <w:kern w:val="0"/>
          <w:sz w:val="20"/>
          <w:szCs w:val="20"/>
          <w:lang w:eastAsia="en-IN"/>
          <w14:ligatures w14:val="none"/>
        </w:rPr>
        <w:t>Raj)</w:t>
      </w:r>
      <w:r w:rsidRPr="005A604C">
        <w:rPr>
          <w:rFonts w:ascii="Arial" w:eastAsia="Times New Roman" w:hAnsi="Arial" w:cs="Arial"/>
          <w:color w:val="000000"/>
          <w:kern w:val="0"/>
          <w:sz w:val="20"/>
          <w:szCs w:val="20"/>
          <w:lang w:eastAsia="en-IN"/>
          <w14:ligatures w14:val="none"/>
        </w:rPr>
        <w:br/>
        <w:t>Chief General Manager</w:t>
      </w:r>
    </w:p>
    <w:p w:rsidR="009B6F28" w:rsidRDefault="009B6F28" w:rsidP="009B6F28"/>
    <w:p w:rsidR="009B6F28" w:rsidRDefault="009B6F28" w:rsidP="009B6F28"/>
    <w:p w:rsidR="009B6F28" w:rsidRDefault="009B6F28" w:rsidP="009B6F28">
      <w:r w:rsidRPr="00057271">
        <w:t>For more details, Kindly refer:</w:t>
      </w:r>
    </w:p>
    <w:p w:rsidR="009B6F28" w:rsidRDefault="009B6F28" w:rsidP="009B6F28">
      <w:pPr>
        <w:rPr>
          <w:rStyle w:val="Hyperlink"/>
        </w:rPr>
      </w:pPr>
      <w:hyperlink r:id="rId5" w:history="1">
        <w:r w:rsidRPr="009F155A">
          <w:rPr>
            <w:rStyle w:val="Hyperlink"/>
          </w:rPr>
          <w:t>https://rbi.org.in/Scripts/NotificationUser.aspx?Id=12526&amp;Mode=0</w:t>
        </w:r>
      </w:hyperlink>
    </w:p>
    <w:p w:rsidR="009B6F28" w:rsidRDefault="009B6F28" w:rsidP="009B6F28">
      <w:pPr>
        <w:rPr>
          <w:rStyle w:val="Hyperlink"/>
        </w:rPr>
      </w:pPr>
    </w:p>
    <w:p w:rsidR="009B6F28" w:rsidRDefault="009B6F28" w:rsidP="009B6F28">
      <w:pPr>
        <w:rPr>
          <w:rStyle w:val="Hyperlink"/>
        </w:rPr>
      </w:pPr>
    </w:p>
    <w:p w:rsidR="009B6F28" w:rsidRDefault="009B6F28" w:rsidP="009B6F28">
      <w:pPr>
        <w:rPr>
          <w:rStyle w:val="Hyperlink"/>
        </w:rPr>
      </w:pPr>
    </w:p>
    <w:p w:rsidR="009B6F28" w:rsidRDefault="009B6F28" w:rsidP="009B6F28">
      <w:pPr>
        <w:rPr>
          <w:rStyle w:val="Hyperlink"/>
        </w:rPr>
      </w:pPr>
    </w:p>
    <w:p w:rsidR="009B6F28" w:rsidRDefault="009B6F28" w:rsidP="009B6F28">
      <w:pPr>
        <w:rPr>
          <w:rStyle w:val="Hyperlink"/>
        </w:rPr>
      </w:pPr>
    </w:p>
    <w:p w:rsidR="009B6F28" w:rsidRDefault="009B6F28" w:rsidP="009B6F28">
      <w:pPr>
        <w:rPr>
          <w:rStyle w:val="Hyperlink"/>
        </w:rPr>
      </w:pPr>
    </w:p>
    <w:p w:rsidR="009B6F28" w:rsidRDefault="009B6F28" w:rsidP="009B6F28">
      <w:pPr>
        <w:rPr>
          <w:rStyle w:val="Hyperlink"/>
        </w:rPr>
      </w:pPr>
    </w:p>
    <w:p w:rsidR="009B6F28" w:rsidRDefault="009B6F28" w:rsidP="009B6F28">
      <w:pPr>
        <w:rPr>
          <w:rStyle w:val="Hyperlink"/>
        </w:rPr>
      </w:pPr>
    </w:p>
    <w:p w:rsidR="009B6F28" w:rsidRPr="009B6F28" w:rsidRDefault="009B6F28" w:rsidP="009B6F28">
      <w:pPr>
        <w:spacing w:before="100" w:beforeAutospacing="1" w:after="100" w:afterAutospacing="1" w:line="240" w:lineRule="auto"/>
        <w:jc w:val="both"/>
        <w:rPr>
          <w:rFonts w:eastAsia="Times New Roman" w:cstheme="minorHAnsi"/>
          <w:b/>
          <w:bCs/>
          <w:color w:val="000000"/>
          <w:kern w:val="0"/>
          <w:sz w:val="24"/>
          <w:szCs w:val="24"/>
          <w:lang w:eastAsia="en-IN"/>
          <w14:ligatures w14:val="none"/>
        </w:rPr>
      </w:pPr>
      <w:r w:rsidRPr="009B6F28">
        <w:rPr>
          <w:rFonts w:eastAsia="Times New Roman" w:cstheme="minorHAnsi"/>
          <w:b/>
          <w:bCs/>
          <w:color w:val="000000"/>
          <w:kern w:val="0"/>
          <w:sz w:val="24"/>
          <w:szCs w:val="24"/>
          <w:lang w:eastAsia="en-IN"/>
          <w14:ligatures w14:val="none"/>
        </w:rPr>
        <w:lastRenderedPageBreak/>
        <w:t>Master Direction - Classification, Valuation and Operation of Investment Portfolio of Commercial Banks (Directions), 2023</w:t>
      </w:r>
    </w:p>
    <w:p w:rsid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RBI/DOR/2023-24/104</w:t>
      </w:r>
      <w:r w:rsidRPr="009B6F28">
        <w:rPr>
          <w:rFonts w:ascii="Arial" w:eastAsia="Times New Roman" w:hAnsi="Arial" w:cs="Arial"/>
          <w:color w:val="000000"/>
          <w:kern w:val="0"/>
          <w:sz w:val="20"/>
          <w:szCs w:val="20"/>
          <w:lang w:eastAsia="en-IN"/>
          <w14:ligatures w14:val="none"/>
        </w:rPr>
        <w:br/>
        <w:t>DOR.MRG.36/21.04.141/2023-24</w:t>
      </w:r>
    </w:p>
    <w:p w:rsidR="009B6F28" w:rsidRPr="009B6F28" w:rsidRDefault="009B6F28" w:rsidP="009B6F28">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September 12, 2023</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All Commercial Banks (excluding Regional Rural Banks)</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Dear Sir / Madam,</w:t>
      </w:r>
    </w:p>
    <w:p w:rsidR="009B6F28" w:rsidRPr="009B6F28" w:rsidRDefault="009B6F28" w:rsidP="009B6F28">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9B6F28">
        <w:rPr>
          <w:rFonts w:ascii="Arial" w:eastAsia="Times New Roman" w:hAnsi="Arial" w:cs="Arial"/>
          <w:b/>
          <w:bCs/>
          <w:color w:val="000000"/>
          <w:kern w:val="0"/>
          <w:sz w:val="20"/>
          <w:szCs w:val="20"/>
          <w:lang w:eastAsia="en-IN"/>
          <w14:ligatures w14:val="none"/>
        </w:rPr>
        <w:t>Master Direction - Classification, Valuation and Operation of Investment Portfolio of Commercial Banks (Directions), 2023</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The extant regulatory instructions on classification and valuation of investment portfolio by commercial banks, as contained in the </w:t>
      </w:r>
      <w:hyperlink r:id="rId6" w:tgtFrame="_blank" w:history="1">
        <w:r w:rsidRPr="009B6F28">
          <w:rPr>
            <w:rFonts w:ascii="Arial" w:eastAsia="Times New Roman" w:hAnsi="Arial" w:cs="Arial"/>
            <w:color w:val="0000FF"/>
            <w:kern w:val="0"/>
            <w:sz w:val="20"/>
            <w:szCs w:val="20"/>
            <w:u w:val="single"/>
            <w:lang w:eastAsia="en-IN"/>
            <w14:ligatures w14:val="none"/>
          </w:rPr>
          <w:t>Reserve Bank of India (Classification, Valuation and Operation of Investment Portfolio of Commercial Banks) Directions, 2021</w:t>
        </w:r>
      </w:hyperlink>
      <w:r w:rsidRPr="009B6F28">
        <w:rPr>
          <w:rFonts w:ascii="Arial" w:eastAsia="Times New Roman" w:hAnsi="Arial" w:cs="Arial"/>
          <w:color w:val="000000"/>
          <w:kern w:val="0"/>
          <w:sz w:val="20"/>
          <w:szCs w:val="20"/>
          <w:lang w:eastAsia="en-IN"/>
          <w14:ligatures w14:val="none"/>
        </w:rPr>
        <w:t>, are largely based on a framework introduced in October 2000 drawing upon the then prevailing global standards and best practices.</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2. In view of the significant developments in the global standards on classification, measurement and valuation of investments, the linkages with the capital adequacy framework as well as progress in the domestic financial markets, a need was felt to review and update these norms. Pursuant to the announcement made in the </w:t>
      </w:r>
      <w:hyperlink r:id="rId7" w:tgtFrame="_blank" w:history="1">
        <w:r w:rsidRPr="009B6F28">
          <w:rPr>
            <w:rFonts w:ascii="Arial" w:eastAsia="Times New Roman" w:hAnsi="Arial" w:cs="Arial"/>
            <w:color w:val="0000FF"/>
            <w:kern w:val="0"/>
            <w:sz w:val="20"/>
            <w:szCs w:val="20"/>
            <w:u w:val="single"/>
            <w:lang w:eastAsia="en-IN"/>
            <w14:ligatures w14:val="none"/>
          </w:rPr>
          <w:t>Statement on Developmental and Regulatory Policies dated December 8, 2021</w:t>
        </w:r>
      </w:hyperlink>
      <w:r w:rsidRPr="009B6F28">
        <w:rPr>
          <w:rFonts w:ascii="Arial" w:eastAsia="Times New Roman" w:hAnsi="Arial" w:cs="Arial"/>
          <w:color w:val="000000"/>
          <w:kern w:val="0"/>
          <w:sz w:val="20"/>
          <w:szCs w:val="20"/>
          <w:lang w:eastAsia="en-IN"/>
          <w14:ligatures w14:val="none"/>
        </w:rPr>
        <w:t>, a </w:t>
      </w:r>
      <w:hyperlink r:id="rId8" w:tgtFrame="_blank" w:history="1">
        <w:r w:rsidRPr="009B6F28">
          <w:rPr>
            <w:rFonts w:ascii="Arial" w:eastAsia="Times New Roman" w:hAnsi="Arial" w:cs="Arial"/>
            <w:color w:val="0000FF"/>
            <w:kern w:val="0"/>
            <w:sz w:val="20"/>
            <w:szCs w:val="20"/>
            <w:u w:val="single"/>
            <w:lang w:eastAsia="en-IN"/>
            <w14:ligatures w14:val="none"/>
          </w:rPr>
          <w:t>discussion paper</w:t>
        </w:r>
      </w:hyperlink>
      <w:r w:rsidRPr="009B6F28">
        <w:rPr>
          <w:rFonts w:ascii="Arial" w:eastAsia="Times New Roman" w:hAnsi="Arial" w:cs="Arial"/>
          <w:color w:val="000000"/>
          <w:kern w:val="0"/>
          <w:sz w:val="20"/>
          <w:szCs w:val="20"/>
          <w:lang w:eastAsia="en-IN"/>
          <w14:ligatures w14:val="none"/>
        </w:rPr>
        <w:t> on the subject was issued for public comments on January 14, 2022. Based on the inputs received, it has now been decided to put in place a revised regulatory framework for the investment portfolio.</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3. The revised framework updates the regulatory guidelines with global standards and best practices while introducing a symmetric treatment of fair value gains and losses, a clearly identifiable trading book under Held for Trading (HFT), removing the 90-day ceiling on holding period under HFT, removal of ceilings on Held to Maturity and more detailed disclosures on the investment portfolio. Further, to facilitate smooth implementation, </w:t>
      </w:r>
      <w:hyperlink r:id="rId9" w:tgtFrame="_blank" w:history="1">
        <w:r w:rsidRPr="009B6F28">
          <w:rPr>
            <w:rFonts w:ascii="Arial" w:eastAsia="Times New Roman" w:hAnsi="Arial" w:cs="Arial"/>
            <w:color w:val="0000FF"/>
            <w:kern w:val="0"/>
            <w:sz w:val="20"/>
            <w:szCs w:val="20"/>
            <w:u w:val="single"/>
            <w:lang w:eastAsia="en-IN"/>
            <w14:ligatures w14:val="none"/>
          </w:rPr>
          <w:t>illustrative guidance</w:t>
        </w:r>
      </w:hyperlink>
      <w:r w:rsidRPr="009B6F28">
        <w:rPr>
          <w:rFonts w:ascii="Arial" w:eastAsia="Times New Roman" w:hAnsi="Arial" w:cs="Arial"/>
          <w:color w:val="000000"/>
          <w:kern w:val="0"/>
          <w:sz w:val="20"/>
          <w:szCs w:val="20"/>
          <w:lang w:eastAsia="en-IN"/>
          <w14:ligatures w14:val="none"/>
        </w:rPr>
        <w:t> has been developed on the revised framework and annexed to the Directions.</w:t>
      </w:r>
    </w:p>
    <w:p w:rsidR="009B6F28" w:rsidRPr="009B6F28" w:rsidRDefault="009B6F28" w:rsidP="009B6F28">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9B6F28">
        <w:rPr>
          <w:rFonts w:ascii="Arial" w:eastAsia="Times New Roman" w:hAnsi="Arial" w:cs="Arial"/>
          <w:b/>
          <w:bCs/>
          <w:color w:val="000000"/>
          <w:kern w:val="0"/>
          <w:sz w:val="20"/>
          <w:szCs w:val="20"/>
          <w:lang w:eastAsia="en-IN"/>
          <w14:ligatures w14:val="none"/>
        </w:rPr>
        <w:t>Applicability</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4. The revised framework as detailed in the Reserve Bank of India (Classification, Valuation and Operation of Investment Portfolio of Commercial Banks) Directions, 2023 </w:t>
      </w:r>
      <w:hyperlink r:id="rId10" w:anchor="MD" w:history="1">
        <w:r w:rsidRPr="009B6F28">
          <w:rPr>
            <w:rFonts w:ascii="Arial" w:eastAsia="Times New Roman" w:hAnsi="Arial" w:cs="Arial"/>
            <w:color w:val="0000FF"/>
            <w:kern w:val="0"/>
            <w:sz w:val="20"/>
            <w:szCs w:val="20"/>
            <w:u w:val="single"/>
            <w:lang w:eastAsia="en-IN"/>
            <w14:ligatures w14:val="none"/>
          </w:rPr>
          <w:t>annexed</w:t>
        </w:r>
      </w:hyperlink>
      <w:r w:rsidRPr="009B6F28">
        <w:rPr>
          <w:rFonts w:ascii="Arial" w:eastAsia="Times New Roman" w:hAnsi="Arial" w:cs="Arial"/>
          <w:color w:val="000000"/>
          <w:kern w:val="0"/>
          <w:sz w:val="20"/>
          <w:szCs w:val="20"/>
          <w:lang w:eastAsia="en-IN"/>
          <w14:ligatures w14:val="none"/>
        </w:rPr>
        <w:t> hereto shall be applicable from April 1, 2024, to all Commercial Banks excluding Regional Rural Banks.</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5. Reserve Bank of India is issuing these Directions in the exercise of its powers conferred under section 35A of the Banking Regulation Act, 1949, and all the powers enabling it on this behalf.</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Yours faithfully,</w:t>
      </w:r>
    </w:p>
    <w:p w:rsidR="009B6F28" w:rsidRPr="009B6F28" w:rsidRDefault="009B6F28" w:rsidP="009B6F28">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w:t>
      </w:r>
      <w:proofErr w:type="spellStart"/>
      <w:r w:rsidRPr="009B6F28">
        <w:rPr>
          <w:rFonts w:ascii="Arial" w:eastAsia="Times New Roman" w:hAnsi="Arial" w:cs="Arial"/>
          <w:color w:val="000000"/>
          <w:kern w:val="0"/>
          <w:sz w:val="20"/>
          <w:szCs w:val="20"/>
          <w:lang w:eastAsia="en-IN"/>
          <w14:ligatures w14:val="none"/>
        </w:rPr>
        <w:t>Usha</w:t>
      </w:r>
      <w:proofErr w:type="spellEnd"/>
      <w:r w:rsidRPr="009B6F28">
        <w:rPr>
          <w:rFonts w:ascii="Arial" w:eastAsia="Times New Roman" w:hAnsi="Arial" w:cs="Arial"/>
          <w:color w:val="000000"/>
          <w:kern w:val="0"/>
          <w:sz w:val="20"/>
          <w:szCs w:val="20"/>
          <w:lang w:eastAsia="en-IN"/>
          <w14:ligatures w14:val="none"/>
        </w:rPr>
        <w:t xml:space="preserve"> </w:t>
      </w:r>
      <w:proofErr w:type="spellStart"/>
      <w:r w:rsidRPr="009B6F28">
        <w:rPr>
          <w:rFonts w:ascii="Arial" w:eastAsia="Times New Roman" w:hAnsi="Arial" w:cs="Arial"/>
          <w:color w:val="000000"/>
          <w:kern w:val="0"/>
          <w:sz w:val="20"/>
          <w:szCs w:val="20"/>
          <w:lang w:eastAsia="en-IN"/>
          <w14:ligatures w14:val="none"/>
        </w:rPr>
        <w:t>Janakiraman</w:t>
      </w:r>
      <w:proofErr w:type="spellEnd"/>
      <w:r w:rsidRPr="009B6F28">
        <w:rPr>
          <w:rFonts w:ascii="Arial" w:eastAsia="Times New Roman" w:hAnsi="Arial" w:cs="Arial"/>
          <w:color w:val="000000"/>
          <w:kern w:val="0"/>
          <w:sz w:val="20"/>
          <w:szCs w:val="20"/>
          <w:lang w:eastAsia="en-IN"/>
          <w14:ligatures w14:val="none"/>
        </w:rPr>
        <w:t>)</w:t>
      </w:r>
      <w:r w:rsidRPr="009B6F28">
        <w:rPr>
          <w:rFonts w:ascii="Arial" w:eastAsia="Times New Roman" w:hAnsi="Arial" w:cs="Arial"/>
          <w:color w:val="000000"/>
          <w:kern w:val="0"/>
          <w:sz w:val="20"/>
          <w:szCs w:val="20"/>
          <w:lang w:eastAsia="en-IN"/>
          <w14:ligatures w14:val="none"/>
        </w:rPr>
        <w:br/>
        <w:t>Chief General Manager</w:t>
      </w:r>
    </w:p>
    <w:p w:rsidR="009B6F28" w:rsidRDefault="009B6F28" w:rsidP="009B6F28">
      <w:r w:rsidRPr="00057271">
        <w:t>For more details, Kindly refer:</w:t>
      </w:r>
    </w:p>
    <w:p w:rsidR="009B6F28" w:rsidRDefault="009B6F28" w:rsidP="009B6F28">
      <w:hyperlink r:id="rId11" w:history="1">
        <w:r w:rsidRPr="003A713A">
          <w:rPr>
            <w:rStyle w:val="Hyperlink"/>
          </w:rPr>
          <w:t>https://rbi.org.in/Scripts/NotificationUser.aspx?Id=12534&amp;Mode=0</w:t>
        </w:r>
      </w:hyperlink>
    </w:p>
    <w:p w:rsidR="009B6F28" w:rsidRDefault="009B6F28" w:rsidP="009B6F28"/>
    <w:p w:rsidR="009B6F28" w:rsidRPr="009B6F28" w:rsidRDefault="009B6F28" w:rsidP="009B6F28">
      <w:pPr>
        <w:spacing w:before="100" w:beforeAutospacing="1" w:after="100" w:afterAutospacing="1" w:line="240" w:lineRule="auto"/>
        <w:jc w:val="both"/>
        <w:rPr>
          <w:rFonts w:eastAsia="Times New Roman" w:cstheme="minorHAnsi"/>
          <w:b/>
          <w:bCs/>
          <w:color w:val="000000"/>
          <w:kern w:val="0"/>
          <w:sz w:val="24"/>
          <w:szCs w:val="24"/>
          <w:lang w:eastAsia="en-IN"/>
          <w14:ligatures w14:val="none"/>
        </w:rPr>
      </w:pPr>
      <w:r w:rsidRPr="009B6F28">
        <w:rPr>
          <w:rFonts w:eastAsia="Times New Roman" w:cstheme="minorHAnsi"/>
          <w:b/>
          <w:bCs/>
          <w:color w:val="000000"/>
          <w:kern w:val="0"/>
          <w:sz w:val="24"/>
          <w:szCs w:val="24"/>
          <w:lang w:eastAsia="en-IN"/>
          <w14:ligatures w14:val="none"/>
        </w:rPr>
        <w:lastRenderedPageBreak/>
        <w:t>Reserve Bank of India (Financial Statements - Presentation and Disclosures) Directions, 2021: Presentation of unclaimed liabilities transferred to Depositor Education and Awareness (DEA) Fund</w:t>
      </w:r>
    </w:p>
    <w:p w:rsid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RBI/2023-24/71</w:t>
      </w:r>
      <w:r w:rsidRPr="009B6F28">
        <w:rPr>
          <w:rFonts w:ascii="Arial" w:eastAsia="Times New Roman" w:hAnsi="Arial" w:cs="Arial"/>
          <w:color w:val="000000"/>
          <w:kern w:val="0"/>
          <w:sz w:val="20"/>
          <w:szCs w:val="20"/>
          <w:lang w:eastAsia="en-IN"/>
          <w14:ligatures w14:val="none"/>
        </w:rPr>
        <w:br/>
        <w:t>DOR.ACC.47/21.04.018/2023-24</w:t>
      </w:r>
    </w:p>
    <w:p w:rsidR="009B6F28" w:rsidRPr="009B6F28" w:rsidRDefault="009B6F28" w:rsidP="009B6F28">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October 25, 2023</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Madam / Sir,</w:t>
      </w:r>
    </w:p>
    <w:p w:rsidR="009B6F28" w:rsidRPr="009B6F28" w:rsidRDefault="009B6F28" w:rsidP="009B6F28">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9B6F28">
        <w:rPr>
          <w:rFonts w:ascii="Arial" w:eastAsia="Times New Roman" w:hAnsi="Arial" w:cs="Arial"/>
          <w:b/>
          <w:bCs/>
          <w:color w:val="000000"/>
          <w:kern w:val="0"/>
          <w:sz w:val="20"/>
          <w:szCs w:val="20"/>
          <w:lang w:eastAsia="en-IN"/>
          <w14:ligatures w14:val="none"/>
        </w:rPr>
        <w:t>Reserve Bank of India (Financial Statements - Presentation and Disclosures) Directions, 2021: Presentation of unclaimed liabilities transferred to Depositor Education and Awareness (DEA) Fund</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The ‘Notes and Instructions for compilation’ given in Annex II to the </w:t>
      </w:r>
      <w:hyperlink r:id="rId12" w:tgtFrame="_blank" w:history="1">
        <w:r w:rsidRPr="009B6F28">
          <w:rPr>
            <w:rFonts w:ascii="Arial" w:eastAsia="Times New Roman" w:hAnsi="Arial" w:cs="Arial"/>
            <w:color w:val="0000FF"/>
            <w:kern w:val="0"/>
            <w:sz w:val="20"/>
            <w:szCs w:val="20"/>
            <w:u w:val="single"/>
            <w:lang w:eastAsia="en-IN"/>
            <w14:ligatures w14:val="none"/>
          </w:rPr>
          <w:t>Reserve Bank of India (Financial Statements - Presentation and Disclosures) Directions, 2021 (Master Direction)</w:t>
        </w:r>
      </w:hyperlink>
      <w:r w:rsidRPr="009B6F28">
        <w:rPr>
          <w:rFonts w:ascii="Arial" w:eastAsia="Times New Roman" w:hAnsi="Arial" w:cs="Arial"/>
          <w:color w:val="000000"/>
          <w:kern w:val="0"/>
          <w:sz w:val="20"/>
          <w:szCs w:val="20"/>
          <w:lang w:eastAsia="en-IN"/>
          <w14:ligatures w14:val="none"/>
        </w:rPr>
        <w:t> require commercial banks to present all unclaimed liabilities, where the amount due has been transferred to the Depositor Education and Awareness (DEA) Fund established under the DEA Fund Scheme, 2014, under ‘Schedule 12- Contingent Liabilities - Other items for which the bank is contingently liable’.</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2. To ensure consistency in presentation of financial statements, it is advised that all co-operative banks shall present all unclaimed liabilities (where the amount due has been transferred to DEA Fund) under “Contingent Liabilities – Others”.</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3. Further, all banks shall specify in the disclosures</w:t>
      </w:r>
      <w:hyperlink r:id="rId13" w:anchor="F1" w:history="1">
        <w:r w:rsidRPr="009B6F28">
          <w:rPr>
            <w:rFonts w:ascii="Arial" w:eastAsia="Times New Roman" w:hAnsi="Arial" w:cs="Arial"/>
            <w:color w:val="0000FF"/>
            <w:kern w:val="0"/>
            <w:sz w:val="15"/>
            <w:szCs w:val="15"/>
            <w:u w:val="single"/>
            <w:vertAlign w:val="superscript"/>
            <w:lang w:eastAsia="en-IN"/>
            <w14:ligatures w14:val="none"/>
          </w:rPr>
          <w:t>1</w:t>
        </w:r>
      </w:hyperlink>
      <w:r w:rsidRPr="009B6F28">
        <w:rPr>
          <w:rFonts w:ascii="Arial" w:eastAsia="Times New Roman" w:hAnsi="Arial" w:cs="Arial"/>
          <w:color w:val="000000"/>
          <w:kern w:val="0"/>
          <w:sz w:val="20"/>
          <w:szCs w:val="20"/>
          <w:lang w:eastAsia="en-IN"/>
          <w14:ligatures w14:val="none"/>
        </w:rPr>
        <w:t> in the notes to accounts to the financial statements that balances of the amount transferred to DEA Fund are included under 'Schedule 12 - Contingent Liabilities - Other items for which the bank is contingently liable' or 'Contingent Liabilities - Others,' as the case may be.</w:t>
      </w:r>
    </w:p>
    <w:p w:rsidR="009B6F28" w:rsidRPr="009B6F28" w:rsidRDefault="009B6F28" w:rsidP="009B6F28">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9B6F28">
        <w:rPr>
          <w:rFonts w:ascii="Arial" w:eastAsia="Times New Roman" w:hAnsi="Arial" w:cs="Arial"/>
          <w:b/>
          <w:bCs/>
          <w:color w:val="000000"/>
          <w:kern w:val="0"/>
          <w:sz w:val="20"/>
          <w:szCs w:val="20"/>
          <w:lang w:eastAsia="en-IN"/>
          <w14:ligatures w14:val="none"/>
        </w:rPr>
        <w:t>Applicability</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4. These instructions are applicable to all commercial and cooperative banks for preparation of financial statements for the financial year ending March 31, 2024 and onwards.</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5. The </w:t>
      </w:r>
      <w:hyperlink r:id="rId14" w:tgtFrame="_blank" w:history="1">
        <w:r w:rsidRPr="009B6F28">
          <w:rPr>
            <w:rFonts w:ascii="Arial" w:eastAsia="Times New Roman" w:hAnsi="Arial" w:cs="Arial"/>
            <w:color w:val="0000FF"/>
            <w:kern w:val="0"/>
            <w:sz w:val="20"/>
            <w:szCs w:val="20"/>
            <w:u w:val="single"/>
            <w:lang w:eastAsia="en-IN"/>
            <w14:ligatures w14:val="none"/>
          </w:rPr>
          <w:t>Reserve Bank of India (Financial Statements - Presentation and Disclosures) Directions, 2021</w:t>
        </w:r>
      </w:hyperlink>
      <w:r w:rsidRPr="009B6F28">
        <w:rPr>
          <w:rFonts w:ascii="Arial" w:eastAsia="Times New Roman" w:hAnsi="Arial" w:cs="Arial"/>
          <w:color w:val="000000"/>
          <w:kern w:val="0"/>
          <w:sz w:val="20"/>
          <w:szCs w:val="20"/>
          <w:lang w:eastAsia="en-IN"/>
          <w14:ligatures w14:val="none"/>
        </w:rPr>
        <w:t> stands updated to reflect these changes.</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Yours faithfully,</w:t>
      </w:r>
    </w:p>
    <w:p w:rsidR="009B6F28" w:rsidRPr="009B6F28" w:rsidRDefault="009B6F28" w:rsidP="009B6F28">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w:t>
      </w:r>
      <w:proofErr w:type="spellStart"/>
      <w:r w:rsidRPr="009B6F28">
        <w:rPr>
          <w:rFonts w:ascii="Arial" w:eastAsia="Times New Roman" w:hAnsi="Arial" w:cs="Arial"/>
          <w:color w:val="000000"/>
          <w:kern w:val="0"/>
          <w:sz w:val="20"/>
          <w:szCs w:val="20"/>
          <w:lang w:eastAsia="en-IN"/>
          <w14:ligatures w14:val="none"/>
        </w:rPr>
        <w:t>Usha</w:t>
      </w:r>
      <w:proofErr w:type="spellEnd"/>
      <w:r w:rsidRPr="009B6F28">
        <w:rPr>
          <w:rFonts w:ascii="Arial" w:eastAsia="Times New Roman" w:hAnsi="Arial" w:cs="Arial"/>
          <w:color w:val="000000"/>
          <w:kern w:val="0"/>
          <w:sz w:val="20"/>
          <w:szCs w:val="20"/>
          <w:lang w:eastAsia="en-IN"/>
          <w14:ligatures w14:val="none"/>
        </w:rPr>
        <w:t xml:space="preserve"> </w:t>
      </w:r>
      <w:proofErr w:type="spellStart"/>
      <w:r w:rsidRPr="009B6F28">
        <w:rPr>
          <w:rFonts w:ascii="Arial" w:eastAsia="Times New Roman" w:hAnsi="Arial" w:cs="Arial"/>
          <w:color w:val="000000"/>
          <w:kern w:val="0"/>
          <w:sz w:val="20"/>
          <w:szCs w:val="20"/>
          <w:lang w:eastAsia="en-IN"/>
          <w14:ligatures w14:val="none"/>
        </w:rPr>
        <w:t>Janakiraman</w:t>
      </w:r>
      <w:proofErr w:type="spellEnd"/>
      <w:r w:rsidRPr="009B6F28">
        <w:rPr>
          <w:rFonts w:ascii="Arial" w:eastAsia="Times New Roman" w:hAnsi="Arial" w:cs="Arial"/>
          <w:color w:val="000000"/>
          <w:kern w:val="0"/>
          <w:sz w:val="20"/>
          <w:szCs w:val="20"/>
          <w:lang w:eastAsia="en-IN"/>
          <w14:ligatures w14:val="none"/>
        </w:rPr>
        <w:t>)</w:t>
      </w:r>
      <w:r w:rsidRPr="009B6F28">
        <w:rPr>
          <w:rFonts w:ascii="Arial" w:eastAsia="Times New Roman" w:hAnsi="Arial" w:cs="Arial"/>
          <w:color w:val="000000"/>
          <w:kern w:val="0"/>
          <w:sz w:val="20"/>
          <w:szCs w:val="20"/>
          <w:lang w:eastAsia="en-IN"/>
          <w14:ligatures w14:val="none"/>
        </w:rPr>
        <w:br/>
        <w:t>Chief General Manager</w:t>
      </w:r>
    </w:p>
    <w:p w:rsidR="009B6F28" w:rsidRDefault="009B6F28" w:rsidP="009B6F28"/>
    <w:p w:rsidR="009B6F28" w:rsidRDefault="009B6F28" w:rsidP="009B6F28">
      <w:r w:rsidRPr="00057271">
        <w:t>For more details, Kindly refer:</w:t>
      </w:r>
    </w:p>
    <w:p w:rsidR="009B6F28" w:rsidRDefault="009B6F28" w:rsidP="009B6F28">
      <w:hyperlink r:id="rId15" w:history="1">
        <w:r w:rsidRPr="003A713A">
          <w:rPr>
            <w:rStyle w:val="Hyperlink"/>
          </w:rPr>
          <w:t>https://rbi.org.in/Scripts/NotificationUser.aspx?Id=12552&amp;Mode=0</w:t>
        </w:r>
      </w:hyperlink>
    </w:p>
    <w:p w:rsidR="009B6F28" w:rsidRDefault="009B6F28" w:rsidP="009B6F28"/>
    <w:p w:rsidR="009B6F28" w:rsidRDefault="009B6F28" w:rsidP="009B6F28"/>
    <w:p w:rsidR="009B6F28" w:rsidRDefault="009B6F28" w:rsidP="009B6F28"/>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lastRenderedPageBreak/>
        <w:t>RBI/2023-24/107</w:t>
      </w:r>
      <w:r w:rsidRPr="009B6F28">
        <w:rPr>
          <w:rFonts w:ascii="Arial" w:eastAsia="Times New Roman" w:hAnsi="Arial" w:cs="Arial"/>
          <w:color w:val="000000"/>
          <w:kern w:val="0"/>
          <w:sz w:val="20"/>
          <w:szCs w:val="20"/>
          <w:lang w:eastAsia="en-IN"/>
          <w14:ligatures w14:val="none"/>
        </w:rPr>
        <w:br/>
      </w:r>
      <w:proofErr w:type="spellStart"/>
      <w:r w:rsidRPr="009B6F28">
        <w:rPr>
          <w:rFonts w:ascii="Arial" w:eastAsia="Times New Roman" w:hAnsi="Arial" w:cs="Arial"/>
          <w:color w:val="000000"/>
          <w:kern w:val="0"/>
          <w:sz w:val="20"/>
          <w:szCs w:val="20"/>
          <w:lang w:eastAsia="en-IN"/>
          <w14:ligatures w14:val="none"/>
        </w:rPr>
        <w:t>DoS.CO.CSITEG</w:t>
      </w:r>
      <w:proofErr w:type="spellEnd"/>
      <w:r w:rsidRPr="009B6F28">
        <w:rPr>
          <w:rFonts w:ascii="Arial" w:eastAsia="Times New Roman" w:hAnsi="Arial" w:cs="Arial"/>
          <w:color w:val="000000"/>
          <w:kern w:val="0"/>
          <w:sz w:val="20"/>
          <w:szCs w:val="20"/>
          <w:lang w:eastAsia="en-IN"/>
          <w14:ligatures w14:val="none"/>
        </w:rPr>
        <w:t>/SEC.7/31.01.015/2023-24</w:t>
      </w:r>
    </w:p>
    <w:p w:rsidR="009B6F28" w:rsidRPr="009B6F28" w:rsidRDefault="009B6F28" w:rsidP="009B6F28">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November 7, 2023</w:t>
      </w:r>
    </w:p>
    <w:p w:rsidR="009B6F28" w:rsidRPr="009B6F28" w:rsidRDefault="009B6F28" w:rsidP="009B6F28">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The Chairman/Managing Director/Chief Executive Officer</w:t>
      </w:r>
      <w:r w:rsidRPr="009B6F28">
        <w:rPr>
          <w:rFonts w:ascii="Arial" w:eastAsia="Times New Roman" w:hAnsi="Arial" w:cs="Arial"/>
          <w:color w:val="000000"/>
          <w:kern w:val="0"/>
          <w:sz w:val="20"/>
          <w:szCs w:val="20"/>
          <w:lang w:eastAsia="en-IN"/>
          <w14:ligatures w14:val="none"/>
        </w:rPr>
        <w:br/>
        <w:t>Scheduled Commercial Banks (excluding Regional Rural Banks);</w:t>
      </w:r>
      <w:r w:rsidRPr="009B6F28">
        <w:rPr>
          <w:rFonts w:ascii="Arial" w:eastAsia="Times New Roman" w:hAnsi="Arial" w:cs="Arial"/>
          <w:color w:val="000000"/>
          <w:kern w:val="0"/>
          <w:sz w:val="20"/>
          <w:szCs w:val="20"/>
          <w:lang w:eastAsia="en-IN"/>
          <w14:ligatures w14:val="none"/>
        </w:rPr>
        <w:br/>
        <w:t>Small Finance Banks; Payments Banks;</w:t>
      </w:r>
      <w:r w:rsidRPr="009B6F28">
        <w:rPr>
          <w:rFonts w:ascii="Arial" w:eastAsia="Times New Roman" w:hAnsi="Arial" w:cs="Arial"/>
          <w:color w:val="000000"/>
          <w:kern w:val="0"/>
          <w:sz w:val="20"/>
          <w:szCs w:val="20"/>
          <w:lang w:eastAsia="en-IN"/>
          <w14:ligatures w14:val="none"/>
        </w:rPr>
        <w:br/>
        <w:t>Non-Banking Financial Companies;</w:t>
      </w:r>
      <w:r w:rsidRPr="009B6F28">
        <w:rPr>
          <w:rFonts w:ascii="Arial" w:eastAsia="Times New Roman" w:hAnsi="Arial" w:cs="Arial"/>
          <w:color w:val="000000"/>
          <w:kern w:val="0"/>
          <w:sz w:val="20"/>
          <w:szCs w:val="20"/>
          <w:lang w:eastAsia="en-IN"/>
          <w14:ligatures w14:val="none"/>
        </w:rPr>
        <w:br/>
        <w:t>Credit Information Companies; and</w:t>
      </w:r>
      <w:r w:rsidRPr="009B6F28">
        <w:rPr>
          <w:rFonts w:ascii="Arial" w:eastAsia="Times New Roman" w:hAnsi="Arial" w:cs="Arial"/>
          <w:color w:val="000000"/>
          <w:kern w:val="0"/>
          <w:sz w:val="20"/>
          <w:szCs w:val="20"/>
          <w:lang w:eastAsia="en-IN"/>
          <w14:ligatures w14:val="none"/>
        </w:rPr>
        <w:br/>
        <w:t xml:space="preserve">All India Financial Institutions (EXIM Bank, NABARD, </w:t>
      </w:r>
      <w:proofErr w:type="spellStart"/>
      <w:r w:rsidRPr="009B6F28">
        <w:rPr>
          <w:rFonts w:ascii="Arial" w:eastAsia="Times New Roman" w:hAnsi="Arial" w:cs="Arial"/>
          <w:color w:val="000000"/>
          <w:kern w:val="0"/>
          <w:sz w:val="20"/>
          <w:szCs w:val="20"/>
          <w:lang w:eastAsia="en-IN"/>
          <w14:ligatures w14:val="none"/>
        </w:rPr>
        <w:t>NaBFID</w:t>
      </w:r>
      <w:proofErr w:type="spellEnd"/>
      <w:r w:rsidRPr="009B6F28">
        <w:rPr>
          <w:rFonts w:ascii="Arial" w:eastAsia="Times New Roman" w:hAnsi="Arial" w:cs="Arial"/>
          <w:color w:val="000000"/>
          <w:kern w:val="0"/>
          <w:sz w:val="20"/>
          <w:szCs w:val="20"/>
          <w:lang w:eastAsia="en-IN"/>
          <w14:ligatures w14:val="none"/>
        </w:rPr>
        <w:t>, NHB and SIDBI)</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Madam/Dear Sir,</w:t>
      </w:r>
    </w:p>
    <w:p w:rsidR="009B6F28" w:rsidRPr="009B6F28" w:rsidRDefault="009B6F28" w:rsidP="009B6F28">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9B6F28">
        <w:rPr>
          <w:rFonts w:ascii="Arial" w:eastAsia="Times New Roman" w:hAnsi="Arial" w:cs="Arial"/>
          <w:b/>
          <w:bCs/>
          <w:color w:val="000000"/>
          <w:kern w:val="0"/>
          <w:sz w:val="20"/>
          <w:szCs w:val="20"/>
          <w:lang w:eastAsia="en-IN"/>
          <w14:ligatures w14:val="none"/>
        </w:rPr>
        <w:t>Master Direction on Information Technology Governance, Risk, Controls and Assurance Practices</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Please refer to paragraph IV (8) of the </w:t>
      </w:r>
      <w:hyperlink r:id="rId16" w:tgtFrame="_blank" w:history="1">
        <w:r w:rsidRPr="009B6F28">
          <w:rPr>
            <w:rFonts w:ascii="Arial" w:eastAsia="Times New Roman" w:hAnsi="Arial" w:cs="Arial"/>
            <w:color w:val="0000FF"/>
            <w:kern w:val="0"/>
            <w:sz w:val="20"/>
            <w:szCs w:val="20"/>
            <w:u w:val="single"/>
            <w:lang w:eastAsia="en-IN"/>
            <w14:ligatures w14:val="none"/>
          </w:rPr>
          <w:t>Statement on Developmental and Regulatory Policies</w:t>
        </w:r>
      </w:hyperlink>
      <w:r w:rsidRPr="009B6F28">
        <w:rPr>
          <w:rFonts w:ascii="Arial" w:eastAsia="Times New Roman" w:hAnsi="Arial" w:cs="Arial"/>
          <w:color w:val="000000"/>
          <w:kern w:val="0"/>
          <w:sz w:val="20"/>
          <w:szCs w:val="20"/>
          <w:lang w:eastAsia="en-IN"/>
          <w14:ligatures w14:val="none"/>
        </w:rPr>
        <w:t> released with the </w:t>
      </w:r>
      <w:hyperlink r:id="rId17" w:tgtFrame="_blank" w:history="1">
        <w:r w:rsidRPr="009B6F28">
          <w:rPr>
            <w:rFonts w:ascii="Arial" w:eastAsia="Times New Roman" w:hAnsi="Arial" w:cs="Arial"/>
            <w:color w:val="0000FF"/>
            <w:kern w:val="0"/>
            <w:sz w:val="20"/>
            <w:szCs w:val="20"/>
            <w:u w:val="single"/>
            <w:lang w:eastAsia="en-IN"/>
            <w14:ligatures w14:val="none"/>
          </w:rPr>
          <w:t>Bi-monthly Monetary Policy Statement 2021-22 on February 10, 2022</w:t>
        </w:r>
      </w:hyperlink>
      <w:r w:rsidRPr="009B6F28">
        <w:rPr>
          <w:rFonts w:ascii="Arial" w:eastAsia="Times New Roman" w:hAnsi="Arial" w:cs="Arial"/>
          <w:color w:val="000000"/>
          <w:kern w:val="0"/>
          <w:sz w:val="20"/>
          <w:szCs w:val="20"/>
          <w:lang w:eastAsia="en-IN"/>
          <w14:ligatures w14:val="none"/>
        </w:rPr>
        <w:t>, wherein it was announced that draft guidelines, updating and consolidating the instructions relating to Information Technology (IT) Governance and Controls, Business Continuity Management and Information Systems Audit, will be issued by the Reserve Bank of India.</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2. Accordingly, a draft Master Direction on the subject was published in </w:t>
      </w:r>
      <w:hyperlink r:id="rId18" w:tgtFrame="_blank" w:history="1">
        <w:r w:rsidRPr="009B6F28">
          <w:rPr>
            <w:rFonts w:ascii="Arial" w:eastAsia="Times New Roman" w:hAnsi="Arial" w:cs="Arial"/>
            <w:color w:val="0000FF"/>
            <w:kern w:val="0"/>
            <w:sz w:val="20"/>
            <w:szCs w:val="20"/>
            <w:u w:val="single"/>
            <w:lang w:eastAsia="en-IN"/>
            <w14:ligatures w14:val="none"/>
          </w:rPr>
          <w:t>October 2022</w:t>
        </w:r>
      </w:hyperlink>
      <w:r w:rsidRPr="009B6F28">
        <w:rPr>
          <w:rFonts w:ascii="Arial" w:eastAsia="Times New Roman" w:hAnsi="Arial" w:cs="Arial"/>
          <w:color w:val="000000"/>
          <w:kern w:val="0"/>
          <w:sz w:val="20"/>
          <w:szCs w:val="20"/>
          <w:lang w:eastAsia="en-IN"/>
          <w14:ligatures w14:val="none"/>
        </w:rPr>
        <w:t> seeking public comments.  Based on feedback received, the final Reserve Bank of India (Information Technology Governance, Risk, Controls and Assurance Practices) Directions, 2023 are enclosed herewith.</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Yours faithfully,</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9B6F28">
        <w:rPr>
          <w:rFonts w:ascii="Arial" w:eastAsia="Times New Roman" w:hAnsi="Arial" w:cs="Arial"/>
          <w:color w:val="000000"/>
          <w:kern w:val="0"/>
          <w:sz w:val="20"/>
          <w:szCs w:val="20"/>
          <w:lang w:eastAsia="en-IN"/>
          <w14:ligatures w14:val="none"/>
        </w:rPr>
        <w:t>(</w:t>
      </w:r>
      <w:proofErr w:type="spellStart"/>
      <w:r w:rsidRPr="009B6F28">
        <w:rPr>
          <w:rFonts w:ascii="Arial" w:eastAsia="Times New Roman" w:hAnsi="Arial" w:cs="Arial"/>
          <w:color w:val="000000"/>
          <w:kern w:val="0"/>
          <w:sz w:val="20"/>
          <w:szCs w:val="20"/>
          <w:lang w:eastAsia="en-IN"/>
          <w14:ligatures w14:val="none"/>
        </w:rPr>
        <w:t>T.K.Rajan</w:t>
      </w:r>
      <w:proofErr w:type="spellEnd"/>
      <w:r w:rsidRPr="009B6F28">
        <w:rPr>
          <w:rFonts w:ascii="Arial" w:eastAsia="Times New Roman" w:hAnsi="Arial" w:cs="Arial"/>
          <w:color w:val="000000"/>
          <w:kern w:val="0"/>
          <w:sz w:val="20"/>
          <w:szCs w:val="20"/>
          <w:lang w:eastAsia="en-IN"/>
          <w14:ligatures w14:val="none"/>
        </w:rPr>
        <w:t>)</w:t>
      </w:r>
      <w:r w:rsidRPr="009B6F28">
        <w:rPr>
          <w:rFonts w:ascii="Arial" w:eastAsia="Times New Roman" w:hAnsi="Arial" w:cs="Arial"/>
          <w:color w:val="000000"/>
          <w:kern w:val="0"/>
          <w:sz w:val="20"/>
          <w:szCs w:val="20"/>
          <w:lang w:eastAsia="en-IN"/>
          <w14:ligatures w14:val="none"/>
        </w:rPr>
        <w:br/>
        <w:t>Chief General Manager</w:t>
      </w:r>
    </w:p>
    <w:p w:rsidR="009B6F28" w:rsidRPr="009B6F28" w:rsidRDefault="009B6F28" w:rsidP="009B6F28">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roofErr w:type="spellStart"/>
      <w:r w:rsidRPr="009B6F28">
        <w:rPr>
          <w:rFonts w:ascii="Arial" w:eastAsia="Times New Roman" w:hAnsi="Arial" w:cs="Arial"/>
          <w:color w:val="000000"/>
          <w:kern w:val="0"/>
          <w:sz w:val="20"/>
          <w:szCs w:val="20"/>
          <w:lang w:eastAsia="en-IN"/>
          <w14:ligatures w14:val="none"/>
        </w:rPr>
        <w:t>Encl</w:t>
      </w:r>
      <w:proofErr w:type="spellEnd"/>
      <w:r w:rsidRPr="009B6F28">
        <w:rPr>
          <w:rFonts w:ascii="Arial" w:eastAsia="Times New Roman" w:hAnsi="Arial" w:cs="Arial"/>
          <w:color w:val="000000"/>
          <w:kern w:val="0"/>
          <w:sz w:val="20"/>
          <w:szCs w:val="20"/>
          <w:lang w:eastAsia="en-IN"/>
          <w14:ligatures w14:val="none"/>
        </w:rPr>
        <w:t>: Reserve Bank of India (Information Technology Governance, Risk, Controls and Assurance Practices) Directions, 2023</w:t>
      </w:r>
    </w:p>
    <w:p w:rsidR="009B6F28" w:rsidRDefault="009B6F28" w:rsidP="009B6F28"/>
    <w:p w:rsidR="009B6F28" w:rsidRDefault="009B6F28" w:rsidP="009B6F28"/>
    <w:p w:rsidR="009B6F28" w:rsidRDefault="009B6F28" w:rsidP="009B6F28">
      <w:r w:rsidRPr="00057271">
        <w:t>For more details, Kindly refer:</w:t>
      </w:r>
    </w:p>
    <w:p w:rsidR="009B6F28" w:rsidRDefault="009B6F28" w:rsidP="009B6F28">
      <w:hyperlink r:id="rId19" w:history="1">
        <w:r w:rsidRPr="003A713A">
          <w:rPr>
            <w:rStyle w:val="Hyperlink"/>
          </w:rPr>
          <w:t>https://rbi.org.in/Scripts/NotificationUser.aspx?Id=12562&amp;Mode=0</w:t>
        </w:r>
      </w:hyperlink>
    </w:p>
    <w:p w:rsidR="009B6F28" w:rsidRDefault="009B6F28" w:rsidP="009B6F28">
      <w:bookmarkStart w:id="0" w:name="_GoBack"/>
      <w:bookmarkEnd w:id="0"/>
    </w:p>
    <w:p w:rsidR="009B6F28" w:rsidRDefault="009B6F28" w:rsidP="009B6F28"/>
    <w:p w:rsidR="009B6F28" w:rsidRDefault="009B6F28" w:rsidP="009B6F28"/>
    <w:p w:rsidR="009B6F28" w:rsidRDefault="009B6F28" w:rsidP="009B6F28"/>
    <w:p w:rsidR="009B6F28" w:rsidRDefault="009B6F28" w:rsidP="009B6F28"/>
    <w:p w:rsidR="009B6F28" w:rsidRDefault="009B6F28" w:rsidP="009B6F28"/>
    <w:p w:rsidR="004928B3" w:rsidRDefault="004928B3"/>
    <w:sectPr w:rsidR="00492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D4"/>
    <w:rsid w:val="004928B3"/>
    <w:rsid w:val="009B6F28"/>
    <w:rsid w:val="00A87BB7"/>
    <w:rsid w:val="00C32E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0E74"/>
  <w15:chartTrackingRefBased/>
  <w15:docId w15:val="{CB4FD3EF-0CE6-4383-B524-6BB0F4EE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8B3"/>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F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809911">
      <w:bodyDiv w:val="1"/>
      <w:marLeft w:val="0"/>
      <w:marRight w:val="0"/>
      <w:marTop w:val="0"/>
      <w:marBottom w:val="0"/>
      <w:divBdr>
        <w:top w:val="none" w:sz="0" w:space="0" w:color="auto"/>
        <w:left w:val="none" w:sz="0" w:space="0" w:color="auto"/>
        <w:bottom w:val="none" w:sz="0" w:space="0" w:color="auto"/>
        <w:right w:val="none" w:sz="0" w:space="0" w:color="auto"/>
      </w:divBdr>
    </w:div>
    <w:div w:id="1336223713">
      <w:bodyDiv w:val="1"/>
      <w:marLeft w:val="0"/>
      <w:marRight w:val="0"/>
      <w:marTop w:val="0"/>
      <w:marBottom w:val="0"/>
      <w:divBdr>
        <w:top w:val="none" w:sz="0" w:space="0" w:color="auto"/>
        <w:left w:val="none" w:sz="0" w:space="0" w:color="auto"/>
        <w:bottom w:val="none" w:sz="0" w:space="0" w:color="auto"/>
        <w:right w:val="none" w:sz="0" w:space="0" w:color="auto"/>
      </w:divBdr>
    </w:div>
    <w:div w:id="1655912228">
      <w:bodyDiv w:val="1"/>
      <w:marLeft w:val="0"/>
      <w:marRight w:val="0"/>
      <w:marTop w:val="0"/>
      <w:marBottom w:val="0"/>
      <w:divBdr>
        <w:top w:val="none" w:sz="0" w:space="0" w:color="auto"/>
        <w:left w:val="none" w:sz="0" w:space="0" w:color="auto"/>
        <w:bottom w:val="none" w:sz="0" w:space="0" w:color="auto"/>
        <w:right w:val="none" w:sz="0" w:space="0" w:color="auto"/>
      </w:divBdr>
    </w:div>
    <w:div w:id="1682586844">
      <w:bodyDiv w:val="1"/>
      <w:marLeft w:val="0"/>
      <w:marRight w:val="0"/>
      <w:marTop w:val="0"/>
      <w:marBottom w:val="0"/>
      <w:divBdr>
        <w:top w:val="none" w:sz="0" w:space="0" w:color="auto"/>
        <w:left w:val="none" w:sz="0" w:space="0" w:color="auto"/>
        <w:bottom w:val="none" w:sz="0" w:space="0" w:color="auto"/>
        <w:right w:val="none" w:sz="0" w:space="0" w:color="auto"/>
      </w:divBdr>
    </w:div>
    <w:div w:id="187950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PressReleaseDisplay.aspx?prid=53103" TargetMode="External"/><Relationship Id="rId13" Type="http://schemas.openxmlformats.org/officeDocument/2006/relationships/hyperlink" Target="https://rbi.org.in/Scripts/NotificationUser.aspx?Id=12552&amp;Mode=0" TargetMode="External"/><Relationship Id="rId18" Type="http://schemas.openxmlformats.org/officeDocument/2006/relationships/hyperlink" Target="https://rbi.org.in/Scripts/BS_PressReleaseDisplay.aspx?prid=5457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rbi.org.in/Scripts/BS_PressReleaseDisplay.aspx?prid=52688" TargetMode="External"/><Relationship Id="rId12" Type="http://schemas.openxmlformats.org/officeDocument/2006/relationships/hyperlink" Target="https://www.rbi.org.in/Scripts/BS_ViewMasDirections.aspx?id=12158" TargetMode="External"/><Relationship Id="rId17" Type="http://schemas.openxmlformats.org/officeDocument/2006/relationships/hyperlink" Target="https://rbi.org.in/Scripts/BS_PressReleaseDisplay.aspx?prid=53247" TargetMode="External"/><Relationship Id="rId2" Type="http://schemas.openxmlformats.org/officeDocument/2006/relationships/settings" Target="settings.xml"/><Relationship Id="rId16" Type="http://schemas.openxmlformats.org/officeDocument/2006/relationships/hyperlink" Target="https://rbi.org.in/Scripts/BS_PressReleaseDisplay.aspx?prid=5324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rbi.org.in/Scripts/BS_ViewMasDirections.aspx?id=12153" TargetMode="External"/><Relationship Id="rId11" Type="http://schemas.openxmlformats.org/officeDocument/2006/relationships/hyperlink" Target="https://rbi.org.in/Scripts/NotificationUser.aspx?Id=12534&amp;Mode=0" TargetMode="External"/><Relationship Id="rId5" Type="http://schemas.openxmlformats.org/officeDocument/2006/relationships/hyperlink" Target="https://rbi.org.in/Scripts/NotificationUser.aspx?Id=12526&amp;Mode=0" TargetMode="External"/><Relationship Id="rId15" Type="http://schemas.openxmlformats.org/officeDocument/2006/relationships/hyperlink" Target="https://rbi.org.in/Scripts/NotificationUser.aspx?Id=12552&amp;Mode=0" TargetMode="External"/><Relationship Id="rId10" Type="http://schemas.openxmlformats.org/officeDocument/2006/relationships/hyperlink" Target="https://rbi.org.in/Scripts/NotificationUser.aspx?Id=12534&amp;Mode=0" TargetMode="External"/><Relationship Id="rId19" Type="http://schemas.openxmlformats.org/officeDocument/2006/relationships/hyperlink" Target="https://rbi.org.in/Scripts/NotificationUser.aspx?Id=12562&amp;Mode=0" TargetMode="External"/><Relationship Id="rId4" Type="http://schemas.openxmlformats.org/officeDocument/2006/relationships/hyperlink" Target="https://rbi.org.in/Scripts/NotificationUser.aspx?Id=12526&amp;Mode=0" TargetMode="External"/><Relationship Id="rId9" Type="http://schemas.openxmlformats.org/officeDocument/2006/relationships/hyperlink" Target="https://rbidocs.rbi.org.in/rdocs/content/pdfs/104MDINVESTMEN12092023_AN5.pdf" TargetMode="External"/><Relationship Id="rId14" Type="http://schemas.openxmlformats.org/officeDocument/2006/relationships/hyperlink" Target="https://www.rbi.org.in/Scripts/BS_ViewMasDirections.aspx?id=12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Debjyoti Dey</dc:creator>
  <cp:keywords/>
  <dc:description/>
  <cp:lastModifiedBy>Debjyoti Dey</cp:lastModifiedBy>
  <cp:revision>3</cp:revision>
  <dcterms:created xsi:type="dcterms:W3CDTF">2024-01-18T06:55:00Z</dcterms:created>
  <dcterms:modified xsi:type="dcterms:W3CDTF">2024-01-18T08:24:00Z</dcterms:modified>
</cp:coreProperties>
</file>